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700" w:type="pct"/>
        <w:jc w:val="center"/>
        <w:tblCellSpacing w:w="0" w:type="dxa"/>
        <w:tblCellMar>
          <w:left w:w="0" w:type="dxa"/>
          <w:right w:w="0" w:type="dxa"/>
        </w:tblCellMar>
        <w:tblLook w:val="04A0"/>
      </w:tblPr>
      <w:tblGrid>
        <w:gridCol w:w="6293"/>
      </w:tblGrid>
      <w:tr w:rsidR="00CE681F" w:rsidRPr="00CE681F" w:rsidTr="00CE681F">
        <w:trPr>
          <w:trHeight w:val="1275"/>
          <w:tblCellSpacing w:w="0" w:type="dxa"/>
          <w:jc w:val="center"/>
        </w:trPr>
        <w:tc>
          <w:tcPr>
            <w:tcW w:w="4300" w:type="pct"/>
            <w:vAlign w:val="center"/>
            <w:hideMark/>
          </w:tcPr>
          <w:p w:rsidR="00CE681F" w:rsidRPr="00CE681F" w:rsidRDefault="00CE681F" w:rsidP="00CE681F">
            <w:pPr>
              <w:spacing w:before="100" w:beforeAutospacing="1" w:after="100" w:afterAutospacing="1"/>
              <w:jc w:val="center"/>
              <w:rPr>
                <w:rFonts w:eastAsia="Times New Roman"/>
              </w:rPr>
            </w:pPr>
            <w:r w:rsidRPr="00CE681F">
              <w:rPr>
                <w:rFonts w:ascii="Arial" w:eastAsia="Times New Roman" w:hAnsi="Arial" w:cs="Arial"/>
                <w:b/>
                <w:bCs/>
                <w:color w:val="808000"/>
                <w:sz w:val="36"/>
              </w:rPr>
              <w:t>Presidência da República</w:t>
            </w:r>
            <w:r w:rsidRPr="00CE681F">
              <w:rPr>
                <w:rFonts w:ascii="Arial" w:eastAsia="Times New Roman" w:hAnsi="Arial" w:cs="Arial"/>
                <w:b/>
                <w:bCs/>
                <w:color w:val="808000"/>
              </w:rPr>
              <w:br/>
            </w:r>
            <w:r w:rsidRPr="00CE681F">
              <w:rPr>
                <w:rFonts w:ascii="Arial" w:eastAsia="Times New Roman" w:hAnsi="Arial" w:cs="Arial"/>
                <w:b/>
                <w:bCs/>
                <w:color w:val="808000"/>
                <w:sz w:val="27"/>
              </w:rPr>
              <w:t>Casa Civil</w:t>
            </w:r>
            <w:r w:rsidRPr="00CE681F">
              <w:rPr>
                <w:rFonts w:ascii="Arial" w:eastAsia="Times New Roman" w:hAnsi="Arial" w:cs="Arial"/>
                <w:b/>
                <w:bCs/>
                <w:color w:val="808000"/>
                <w:sz w:val="27"/>
                <w:szCs w:val="27"/>
              </w:rPr>
              <w:br/>
            </w:r>
            <w:r w:rsidRPr="00CE681F">
              <w:rPr>
                <w:rFonts w:ascii="Arial" w:eastAsia="Times New Roman" w:hAnsi="Arial" w:cs="Arial"/>
                <w:b/>
                <w:bCs/>
                <w:color w:val="808000"/>
              </w:rPr>
              <w:t>Subchefia para Assuntos Jurídicos</w:t>
            </w:r>
          </w:p>
        </w:tc>
      </w:tr>
    </w:tbl>
    <w:p w:rsidR="00CE681F" w:rsidRPr="00CE681F" w:rsidRDefault="00CE681F" w:rsidP="00CE681F">
      <w:pPr>
        <w:spacing w:before="100" w:beforeAutospacing="1" w:after="100" w:afterAutospacing="1"/>
        <w:jc w:val="center"/>
        <w:rPr>
          <w:rFonts w:eastAsia="Times New Roman"/>
          <w:color w:val="000000"/>
          <w:sz w:val="27"/>
          <w:szCs w:val="27"/>
        </w:rPr>
      </w:pPr>
      <w:hyperlink r:id="rId4" w:history="1">
        <w:r w:rsidRPr="00CE681F">
          <w:rPr>
            <w:rFonts w:ascii="Arial" w:eastAsia="Times New Roman" w:hAnsi="Arial" w:cs="Arial"/>
            <w:b/>
            <w:bCs/>
            <w:color w:val="000080"/>
            <w:u w:val="single"/>
          </w:rPr>
          <w:t>LEI N</w:t>
        </w:r>
        <w:r w:rsidRPr="00CE681F">
          <w:rPr>
            <w:rFonts w:ascii="Arial" w:eastAsia="Times New Roman" w:hAnsi="Arial" w:cs="Arial"/>
            <w:b/>
            <w:bCs/>
            <w:color w:val="000080"/>
            <w:u w:val="single"/>
            <w:vertAlign w:val="superscript"/>
          </w:rPr>
          <w:t>o</w:t>
        </w:r>
        <w:r w:rsidRPr="00CE681F">
          <w:rPr>
            <w:rFonts w:ascii="Arial" w:eastAsia="Times New Roman" w:hAnsi="Arial" w:cs="Arial"/>
            <w:b/>
            <w:bCs/>
            <w:color w:val="000080"/>
            <w:u w:val="single"/>
          </w:rPr>
          <w:t xml:space="preserve"> 9.870, DE 23 DE NOVEMBRO DE </w:t>
        </w:r>
        <w:proofErr w:type="gramStart"/>
        <w:r w:rsidRPr="00CE681F">
          <w:rPr>
            <w:rFonts w:ascii="Arial" w:eastAsia="Times New Roman" w:hAnsi="Arial" w:cs="Arial"/>
            <w:b/>
            <w:bCs/>
            <w:color w:val="000080"/>
            <w:u w:val="single"/>
          </w:rPr>
          <w:t>1999.</w:t>
        </w:r>
        <w:proofErr w:type="gramEnd"/>
      </w:hyperlink>
    </w:p>
    <w:tbl>
      <w:tblPr>
        <w:tblW w:w="5000" w:type="pct"/>
        <w:tblCellSpacing w:w="0" w:type="dxa"/>
        <w:tblCellMar>
          <w:left w:w="0" w:type="dxa"/>
          <w:right w:w="0" w:type="dxa"/>
        </w:tblCellMar>
        <w:tblLook w:val="04A0"/>
      </w:tblPr>
      <w:tblGrid>
        <w:gridCol w:w="5102"/>
        <w:gridCol w:w="3402"/>
      </w:tblGrid>
      <w:tr w:rsidR="00CE681F" w:rsidRPr="00CE681F" w:rsidTr="00CE681F">
        <w:trPr>
          <w:tblCellSpacing w:w="0" w:type="dxa"/>
        </w:trPr>
        <w:tc>
          <w:tcPr>
            <w:tcW w:w="3000" w:type="pct"/>
            <w:vAlign w:val="center"/>
            <w:hideMark/>
          </w:tcPr>
          <w:p w:rsidR="00CE681F" w:rsidRPr="00CE681F" w:rsidRDefault="00CE681F" w:rsidP="00CE681F">
            <w:pPr>
              <w:rPr>
                <w:rFonts w:eastAsia="Times New Roman"/>
              </w:rPr>
            </w:pPr>
            <w:hyperlink r:id="rId5" w:history="1">
              <w:r w:rsidRPr="00CE681F">
                <w:rPr>
                  <w:rFonts w:ascii="Arial" w:eastAsia="Times New Roman" w:hAnsi="Arial" w:cs="Arial"/>
                  <w:color w:val="0000FF"/>
                  <w:sz w:val="20"/>
                  <w:u w:val="single"/>
                </w:rPr>
                <w:t>Mensagem de veto</w:t>
              </w:r>
            </w:hyperlink>
          </w:p>
          <w:p w:rsidR="00CE681F" w:rsidRPr="00CE681F" w:rsidRDefault="00CE681F" w:rsidP="00CE681F">
            <w:pPr>
              <w:spacing w:before="100" w:beforeAutospacing="1" w:after="100" w:afterAutospacing="1"/>
              <w:rPr>
                <w:rFonts w:eastAsia="Times New Roman"/>
              </w:rPr>
            </w:pPr>
            <w:hyperlink r:id="rId6" w:history="1">
              <w:r w:rsidRPr="00CE681F">
                <w:rPr>
                  <w:rFonts w:ascii="Arial" w:eastAsia="Times New Roman" w:hAnsi="Arial" w:cs="Arial"/>
                  <w:color w:val="0000FF"/>
                  <w:sz w:val="20"/>
                  <w:u w:val="single"/>
                </w:rPr>
                <w:t>Conversão da Medida Provisória nº 1.890-67, de 1999</w:t>
              </w:r>
            </w:hyperlink>
          </w:p>
        </w:tc>
        <w:tc>
          <w:tcPr>
            <w:tcW w:w="2000" w:type="pct"/>
            <w:vAlign w:val="center"/>
            <w:hideMark/>
          </w:tcPr>
          <w:p w:rsidR="00CE681F" w:rsidRPr="00CE681F" w:rsidRDefault="00CE681F" w:rsidP="00CE681F">
            <w:pPr>
              <w:spacing w:before="100" w:beforeAutospacing="1" w:after="100" w:afterAutospacing="1"/>
              <w:rPr>
                <w:rFonts w:eastAsia="Times New Roman"/>
              </w:rPr>
            </w:pPr>
            <w:r w:rsidRPr="00CE681F">
              <w:rPr>
                <w:rFonts w:ascii="Arial" w:eastAsia="Times New Roman" w:hAnsi="Arial" w:cs="Arial"/>
                <w:color w:val="800000"/>
                <w:sz w:val="20"/>
                <w:szCs w:val="20"/>
              </w:rPr>
              <w:t>Dispõe sobre o valor total das anuidades escolares e dá outras providências.</w:t>
            </w:r>
          </w:p>
        </w:tc>
      </w:tr>
    </w:tbl>
    <w:p w:rsidR="00CE681F" w:rsidRPr="00CE681F" w:rsidRDefault="00CE681F" w:rsidP="00CE681F">
      <w:pPr>
        <w:spacing w:before="100" w:beforeAutospacing="1" w:after="100" w:afterAutospacing="1"/>
        <w:ind w:firstLine="525"/>
        <w:rPr>
          <w:rFonts w:eastAsia="Times New Roman"/>
          <w:color w:val="000000"/>
          <w:sz w:val="27"/>
          <w:szCs w:val="27"/>
        </w:rPr>
      </w:pPr>
      <w:proofErr w:type="gramStart"/>
      <w:r w:rsidRPr="00CE681F">
        <w:rPr>
          <w:rFonts w:ascii="Arial" w:eastAsia="Times New Roman" w:hAnsi="Arial" w:cs="Arial"/>
          <w:b/>
          <w:bCs/>
          <w:color w:val="000000"/>
        </w:rPr>
        <w:t>O PRESIDENTE DA REPÚBLICA </w:t>
      </w:r>
      <w:r w:rsidRPr="00CE681F">
        <w:rPr>
          <w:rFonts w:ascii="Arial" w:eastAsia="Times New Roman" w:hAnsi="Arial" w:cs="Arial"/>
          <w:color w:val="000000"/>
        </w:rPr>
        <w:t>Faço</w:t>
      </w:r>
      <w:proofErr w:type="gramEnd"/>
      <w:r w:rsidRPr="00CE681F">
        <w:rPr>
          <w:rFonts w:ascii="Arial" w:eastAsia="Times New Roman" w:hAnsi="Arial" w:cs="Arial"/>
          <w:color w:val="000000"/>
        </w:rPr>
        <w:t xml:space="preserve"> saber que o Congresso Nacional decreta e eu sanciono a seguinte Lei:</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0" w:name="art1"/>
      <w:bookmarkEnd w:id="0"/>
      <w:r w:rsidRPr="00CE681F">
        <w:rPr>
          <w:rFonts w:ascii="Arial" w:eastAsia="Times New Roman" w:hAnsi="Arial" w:cs="Arial"/>
          <w:color w:val="000000"/>
        </w:rPr>
        <w:t>Art. 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 valor das anuidades ou das semestralidades escolares do ensino pré-escolar, fundamental, médio e superior, será contratado, nos termos desta Lei, no ato da matrícula ou da sua renovação, entre o estabelecimento de ensino e o aluno, o pai do aluno ou o responsável.</w:t>
      </w:r>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 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 valor anual ou semestral referido no </w:t>
      </w:r>
      <w:r w:rsidRPr="00CE681F">
        <w:rPr>
          <w:rFonts w:ascii="Arial" w:eastAsia="Times New Roman" w:hAnsi="Arial" w:cs="Arial"/>
          <w:i/>
          <w:iCs/>
          <w:color w:val="000000"/>
        </w:rPr>
        <w:t>caput</w:t>
      </w:r>
      <w:r w:rsidRPr="00CE681F">
        <w:rPr>
          <w:rFonts w:ascii="Arial" w:eastAsia="Times New Roman" w:hAnsi="Arial" w:cs="Arial"/>
          <w:color w:val="000000"/>
        </w:rPr>
        <w:t> deste artigo deverá ter como base a última parcela da anuidade ou da semestralidade legalmente fixada no ano anterior, multiplicada pelo número de parcelas do período letivo.</w:t>
      </w:r>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 2</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w:t>
      </w:r>
      <w:hyperlink r:id="rId7" w:history="1">
        <w:r w:rsidRPr="00CE681F">
          <w:rPr>
            <w:rFonts w:ascii="Arial" w:eastAsia="Times New Roman" w:hAnsi="Arial" w:cs="Arial"/>
            <w:color w:val="0000FF"/>
            <w:u w:val="single"/>
          </w:rPr>
          <w:t>(VETADO)</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1" w:name="art1§3"/>
      <w:bookmarkEnd w:id="1"/>
      <w:r w:rsidRPr="00CE681F">
        <w:rPr>
          <w:rFonts w:ascii="Arial" w:eastAsia="Times New Roman" w:hAnsi="Arial" w:cs="Arial"/>
          <w:color w:val="000000"/>
        </w:rPr>
        <w:t>§ 3</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Poderá ser acrescido ao valor total anual de que trata o § 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montante proporcional à variação de custos a título de pessoal e de custeio, comprovado mediante apresentação de planilha de custo, mesmo quando esta variação resulte da introdução de aprimoramentos no processo didático-pedagógico.  </w:t>
      </w:r>
      <w:hyperlink r:id="rId8" w:anchor="art1" w:history="1">
        <w:r w:rsidRPr="00CE681F">
          <w:rPr>
            <w:rFonts w:ascii="Arial" w:eastAsia="Times New Roman" w:hAnsi="Arial" w:cs="Arial"/>
            <w:color w:val="0000FF"/>
            <w:u w:val="single"/>
          </w:rPr>
          <w:t>(Vide Medida Provisória nº 1.930, de 1999)</w:t>
        </w:r>
      </w:hyperlink>
      <w:r w:rsidRPr="00CE681F">
        <w:rPr>
          <w:rFonts w:ascii="Arial" w:eastAsia="Times New Roman" w:hAnsi="Arial" w:cs="Arial"/>
          <w:color w:val="000000"/>
        </w:rPr>
        <w:t>   </w:t>
      </w:r>
      <w:hyperlink r:id="rId9" w:anchor="art1" w:history="1">
        <w:r w:rsidRPr="00CE681F">
          <w:rPr>
            <w:rFonts w:ascii="Arial" w:eastAsia="Times New Roman" w:hAnsi="Arial" w:cs="Arial"/>
            <w:color w:val="0000FF"/>
            <w:u w:val="single"/>
          </w:rPr>
          <w:t>(Incluído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2" w:name="art1§4"/>
      <w:bookmarkEnd w:id="2"/>
      <w:r w:rsidRPr="00CE681F">
        <w:rPr>
          <w:rFonts w:ascii="Arial" w:eastAsia="Times New Roman" w:hAnsi="Arial" w:cs="Arial"/>
          <w:color w:val="000000"/>
        </w:rPr>
        <w:t>§ 4</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A planilha de que trata o § 3</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será editada em ato do Poder Executivo. </w:t>
      </w:r>
      <w:hyperlink r:id="rId10" w:anchor="art1" w:history="1">
        <w:r w:rsidRPr="00CE681F">
          <w:rPr>
            <w:rFonts w:ascii="Arial" w:eastAsia="Times New Roman" w:hAnsi="Arial" w:cs="Arial"/>
            <w:color w:val="0000FF"/>
            <w:u w:val="single"/>
          </w:rPr>
          <w:t>(Vide Medida Provisória nº 1.930, de 1999)</w:t>
        </w:r>
      </w:hyperlink>
      <w:r w:rsidRPr="00CE681F">
        <w:rPr>
          <w:rFonts w:ascii="Arial" w:eastAsia="Times New Roman" w:hAnsi="Arial" w:cs="Arial"/>
          <w:color w:val="000000"/>
        </w:rPr>
        <w:t> </w:t>
      </w:r>
      <w:hyperlink r:id="rId11" w:history="1">
        <w:r w:rsidRPr="00CE681F">
          <w:rPr>
            <w:rFonts w:ascii="Arial" w:eastAsia="Times New Roman" w:hAnsi="Arial" w:cs="Arial"/>
            <w:color w:val="0000FF"/>
            <w:u w:val="single"/>
          </w:rPr>
          <w:t>(Regulamento)</w:t>
        </w:r>
      </w:hyperlink>
      <w:r w:rsidRPr="00CE681F">
        <w:rPr>
          <w:rFonts w:ascii="Arial" w:eastAsia="Times New Roman" w:hAnsi="Arial" w:cs="Arial"/>
          <w:color w:val="000000"/>
        </w:rPr>
        <w:t>      </w:t>
      </w:r>
      <w:hyperlink r:id="rId12" w:anchor="art1" w:history="1">
        <w:r w:rsidRPr="00CE681F">
          <w:rPr>
            <w:rFonts w:ascii="Arial" w:eastAsia="Times New Roman" w:hAnsi="Arial" w:cs="Arial"/>
            <w:color w:val="0000FF"/>
            <w:u w:val="single"/>
          </w:rPr>
          <w:t>(Incluído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 5</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xml:space="preserve"> O valor total, anual ou semestral, apurado na forma dos parágrafos precedentes terá vigência por um ano e será </w:t>
      </w:r>
      <w:proofErr w:type="gramStart"/>
      <w:r w:rsidRPr="00CE681F">
        <w:rPr>
          <w:rFonts w:ascii="Arial" w:eastAsia="Times New Roman" w:hAnsi="Arial" w:cs="Arial"/>
          <w:color w:val="000000"/>
        </w:rPr>
        <w:t>dividido em doze ou seis parcelas mensais iguais, facultada</w:t>
      </w:r>
      <w:proofErr w:type="gramEnd"/>
      <w:r w:rsidRPr="00CE681F">
        <w:rPr>
          <w:rFonts w:ascii="Arial" w:eastAsia="Times New Roman" w:hAnsi="Arial" w:cs="Arial"/>
          <w:color w:val="000000"/>
        </w:rPr>
        <w:t xml:space="preserve"> a apresentação de planos de pagamento alternativos, desde que não excedam ao valor total anual ou semestral apurado na forma dos parágrafos anteriores.  </w:t>
      </w:r>
      <w:hyperlink r:id="rId13" w:anchor="art1" w:history="1">
        <w:r w:rsidRPr="00CE681F">
          <w:rPr>
            <w:rFonts w:ascii="Arial" w:eastAsia="Times New Roman" w:hAnsi="Arial" w:cs="Arial"/>
            <w:color w:val="0000FF"/>
            <w:u w:val="single"/>
          </w:rPr>
          <w:t>(Vide Medida Provisória nº 1.930, de 1999)</w:t>
        </w:r>
      </w:hyperlink>
      <w:r w:rsidRPr="00CE681F">
        <w:rPr>
          <w:rFonts w:ascii="Arial" w:eastAsia="Times New Roman" w:hAnsi="Arial" w:cs="Arial"/>
          <w:color w:val="000000"/>
        </w:rPr>
        <w:t>     </w:t>
      </w:r>
      <w:hyperlink r:id="rId14" w:anchor="art1" w:history="1">
        <w:r w:rsidRPr="00CE681F">
          <w:rPr>
            <w:rFonts w:ascii="Arial" w:eastAsia="Times New Roman" w:hAnsi="Arial" w:cs="Arial"/>
            <w:color w:val="0000FF"/>
            <w:u w:val="single"/>
          </w:rPr>
          <w:t>(Renumerado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 6</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Será nula, não produzindo qualquer efeito, cláusula contratual de revisão ou reajustamento do valor das parcelas da anuidade ou semestralidade escolar em prazo inferior a um ano a contar da data de sua fixação, salvo quando expressamente prevista em lei.   </w:t>
      </w:r>
      <w:hyperlink r:id="rId15" w:anchor="art1" w:history="1">
        <w:r w:rsidRPr="00CE681F">
          <w:rPr>
            <w:rFonts w:ascii="Arial" w:eastAsia="Times New Roman" w:hAnsi="Arial" w:cs="Arial"/>
            <w:color w:val="0000FF"/>
            <w:u w:val="single"/>
          </w:rPr>
          <w:t>(Vide Medida Provisória nº 1.930, de 1999)</w:t>
        </w:r>
      </w:hyperlink>
      <w:r w:rsidRPr="00CE681F">
        <w:rPr>
          <w:rFonts w:ascii="Arial" w:eastAsia="Times New Roman" w:hAnsi="Arial" w:cs="Arial"/>
          <w:color w:val="000000"/>
        </w:rPr>
        <w:t>   </w:t>
      </w:r>
      <w:hyperlink r:id="rId16" w:anchor="art1" w:history="1">
        <w:r w:rsidRPr="00CE681F">
          <w:rPr>
            <w:rFonts w:ascii="Arial" w:eastAsia="Times New Roman" w:hAnsi="Arial" w:cs="Arial"/>
            <w:color w:val="0000FF"/>
            <w:u w:val="single"/>
          </w:rPr>
          <w:t>(Renumerado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3" w:name="art1§7"/>
      <w:bookmarkEnd w:id="3"/>
      <w:r w:rsidRPr="00CE681F">
        <w:rPr>
          <w:rFonts w:ascii="Arial" w:eastAsia="Times New Roman" w:hAnsi="Arial" w:cs="Arial"/>
          <w:color w:val="000000"/>
          <w:sz w:val="20"/>
          <w:szCs w:val="20"/>
        </w:rPr>
        <w:lastRenderedPageBreak/>
        <w:t>§ 7</w:t>
      </w:r>
      <w:r w:rsidRPr="00CE681F">
        <w:rPr>
          <w:rFonts w:ascii="Arial" w:eastAsia="Times New Roman" w:hAnsi="Arial" w:cs="Arial"/>
          <w:color w:val="000000"/>
          <w:sz w:val="20"/>
          <w:szCs w:val="20"/>
          <w:u w:val="single"/>
          <w:vertAlign w:val="superscript"/>
        </w:rPr>
        <w:t>o</w:t>
      </w:r>
      <w:r w:rsidRPr="00CE681F">
        <w:rPr>
          <w:rFonts w:ascii="Arial" w:eastAsia="Times New Roman" w:hAnsi="Arial" w:cs="Arial"/>
          <w:color w:val="000000"/>
          <w:sz w:val="20"/>
          <w:szCs w:val="20"/>
        </w:rPr>
        <w:t xml:space="preserve"> Será nula cláusula contratual que obrigue o contratante ao pagamento adicional ou ao fornecimento de qualquer material escolar de uso coletivo dos estudantes ou da instituição, necessário à prestação dos serviços educacionais contratados, devendo os custos correspondentes </w:t>
      </w:r>
      <w:proofErr w:type="gramStart"/>
      <w:r w:rsidRPr="00CE681F">
        <w:rPr>
          <w:rFonts w:ascii="Arial" w:eastAsia="Times New Roman" w:hAnsi="Arial" w:cs="Arial"/>
          <w:color w:val="000000"/>
          <w:sz w:val="20"/>
          <w:szCs w:val="20"/>
        </w:rPr>
        <w:t>ser</w:t>
      </w:r>
      <w:proofErr w:type="gramEnd"/>
      <w:r w:rsidRPr="00CE681F">
        <w:rPr>
          <w:rFonts w:ascii="Arial" w:eastAsia="Times New Roman" w:hAnsi="Arial" w:cs="Arial"/>
          <w:color w:val="000000"/>
          <w:sz w:val="20"/>
          <w:szCs w:val="20"/>
        </w:rPr>
        <w:t xml:space="preserve"> sempre considerados nos cálculos do valor das anuidades ou das semestralidades escolares.     </w:t>
      </w:r>
      <w:r w:rsidRPr="00CE681F">
        <w:rPr>
          <w:rFonts w:ascii="Arial" w:eastAsia="Times New Roman" w:hAnsi="Arial" w:cs="Arial"/>
          <w:color w:val="000000"/>
        </w:rPr>
        <w:t> </w:t>
      </w:r>
      <w:hyperlink r:id="rId17" w:anchor="art1" w:history="1">
        <w:r w:rsidRPr="00CE681F">
          <w:rPr>
            <w:rFonts w:ascii="Arial" w:eastAsia="Times New Roman" w:hAnsi="Arial" w:cs="Arial"/>
            <w:color w:val="0000FF"/>
            <w:u w:val="single"/>
          </w:rPr>
          <w:t>(Incluído pela Lei nº 12.886, de 2013)</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4" w:name="art2"/>
      <w:bookmarkEnd w:id="4"/>
      <w:r w:rsidRPr="00CE681F">
        <w:rPr>
          <w:rFonts w:ascii="Arial" w:eastAsia="Times New Roman" w:hAnsi="Arial" w:cs="Arial"/>
          <w:color w:val="000000"/>
        </w:rPr>
        <w:t>Art. 2</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 estabelecimento de ensino deverá divulgar, em local de fácil acesso ao público, o texto da proposta de contrato, o valor apurado na forma do art. 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e o número de vagas por sala-classe, no período mínimo de quarenta e cinco dias antes da data final para matrícula, conforme calendário e cronograma da instituição de ensino.</w:t>
      </w:r>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Parágrafo único </w:t>
      </w:r>
      <w:hyperlink r:id="rId18" w:history="1">
        <w:r w:rsidRPr="00CE681F">
          <w:rPr>
            <w:rFonts w:ascii="Arial" w:eastAsia="Times New Roman" w:hAnsi="Arial" w:cs="Arial"/>
            <w:color w:val="0000FF"/>
            <w:u w:val="single"/>
          </w:rPr>
          <w:t>(VETADO)</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5" w:name="art3"/>
      <w:bookmarkEnd w:id="5"/>
      <w:r w:rsidRPr="00CE681F">
        <w:rPr>
          <w:rFonts w:ascii="Arial" w:eastAsia="Times New Roman" w:hAnsi="Arial" w:cs="Arial"/>
          <w:color w:val="000000"/>
        </w:rPr>
        <w:t>Art. 3</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w:t>
      </w:r>
      <w:hyperlink r:id="rId19" w:history="1">
        <w:r w:rsidRPr="00CE681F">
          <w:rPr>
            <w:rFonts w:ascii="Arial" w:eastAsia="Times New Roman" w:hAnsi="Arial" w:cs="Arial"/>
            <w:color w:val="0000FF"/>
            <w:u w:val="single"/>
          </w:rPr>
          <w:t>(VETADO)</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6" w:name="art4"/>
      <w:bookmarkEnd w:id="6"/>
      <w:r w:rsidRPr="00CE681F">
        <w:rPr>
          <w:rFonts w:ascii="Arial" w:eastAsia="Times New Roman" w:hAnsi="Arial" w:cs="Arial"/>
          <w:color w:val="000000"/>
        </w:rPr>
        <w:t>Art. 4</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A Secretaria de Direito Econômico do Ministério da Justiça, quando necessário, poderá requerer, nos termos da </w:t>
      </w:r>
      <w:hyperlink r:id="rId20" w:history="1">
        <w:r w:rsidRPr="00CE681F">
          <w:rPr>
            <w:rFonts w:ascii="Arial" w:eastAsia="Times New Roman" w:hAnsi="Arial" w:cs="Arial"/>
            <w:color w:val="0000FF"/>
            <w:u w:val="single"/>
          </w:rPr>
          <w:t>Lei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8.078, de 11 de setembro de 1990</w:t>
        </w:r>
      </w:hyperlink>
      <w:r w:rsidRPr="00CE681F">
        <w:rPr>
          <w:rFonts w:ascii="Arial" w:eastAsia="Times New Roman" w:hAnsi="Arial" w:cs="Arial"/>
          <w:color w:val="000000"/>
        </w:rPr>
        <w:t>, e no âmbito de suas atribuições, comprovação documental referente a qualquer cláusula contratual, exceto dos estabelecimentos de ensino que tenham firmado acordo com alunos, pais de alunos ou associações de pais e alunos, devidamente legalizadas, bem como quando o valor arbitrado for decorrente da decisão do mediador.</w:t>
      </w:r>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Parágrafo único. Quando a documentação apresentada pelo estabelecimento de ensino não corresponder às condições desta Lei, o órgão de que trata este artigo poderá tomar, dos interessados, termo de compromisso, na forma da legislação vigente.</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7" w:name="art5"/>
      <w:bookmarkEnd w:id="7"/>
      <w:r w:rsidRPr="00CE681F">
        <w:rPr>
          <w:rFonts w:ascii="Arial" w:eastAsia="Times New Roman" w:hAnsi="Arial" w:cs="Arial"/>
          <w:color w:val="000000"/>
        </w:rPr>
        <w:t>Art. 5</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Os alunos já matriculados, salvo quando inadimplentes, terão direito à renovação das matrículas, observado o calendário escolar da instituição, o regimento da escola ou cláusula contratual.</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8" w:name="art6"/>
      <w:bookmarkEnd w:id="8"/>
      <w:r w:rsidRPr="00CE681F">
        <w:rPr>
          <w:rFonts w:ascii="Arial" w:eastAsia="Times New Roman" w:hAnsi="Arial" w:cs="Arial"/>
          <w:color w:val="000000"/>
        </w:rPr>
        <w:t>Art. 6</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xml:space="preserve"> São proibidas a suspensão de provas escolares, a retenção de documentos escolares ou a aplicação de quaisquer outras penalidades pedagógicas por motivo de inadimplemento, sujeitando-se o contratante, no que couber, às sanções legais e administrativas, compatíveis com o Código de Defesa do Consumidor, e com os </w:t>
      </w:r>
      <w:proofErr w:type="spellStart"/>
      <w:r w:rsidRPr="00CE681F">
        <w:rPr>
          <w:rFonts w:ascii="Arial" w:eastAsia="Times New Roman" w:hAnsi="Arial" w:cs="Arial"/>
          <w:color w:val="000000"/>
        </w:rPr>
        <w:t>arts</w:t>
      </w:r>
      <w:proofErr w:type="spellEnd"/>
      <w:r w:rsidRPr="00CE681F">
        <w:rPr>
          <w:rFonts w:ascii="Arial" w:eastAsia="Times New Roman" w:hAnsi="Arial" w:cs="Arial"/>
          <w:color w:val="000000"/>
        </w:rPr>
        <w:t>. 177 e 1.092 do Código Civil Brasileiro, caso a inadimplência perdure por mais de noventa dias.</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9" w:name="art6§1."/>
      <w:bookmarkEnd w:id="9"/>
      <w:r w:rsidRPr="00CE681F">
        <w:rPr>
          <w:rFonts w:ascii="Arial" w:eastAsia="Times New Roman" w:hAnsi="Arial" w:cs="Arial"/>
          <w:color w:val="000000"/>
        </w:rPr>
        <w:t>§ 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 desligamento do aluno por inadimplência somente poderá ocorrer ao final do ano letivo ou, no ensino superior, ao final do semestre letivo quando a instituição adotar o regime didático semestral. </w:t>
      </w:r>
      <w:hyperlink r:id="rId21" w:anchor="art2" w:history="1">
        <w:r w:rsidRPr="00CE681F">
          <w:rPr>
            <w:rFonts w:ascii="Arial" w:eastAsia="Times New Roman" w:hAnsi="Arial" w:cs="Arial"/>
            <w:color w:val="0000FF"/>
            <w:u w:val="single"/>
          </w:rPr>
          <w:t>(Vide Medida Provisória nº 1.930, de 1999)</w:t>
        </w:r>
      </w:hyperlink>
      <w:r w:rsidRPr="00CE681F">
        <w:rPr>
          <w:rFonts w:ascii="Arial" w:eastAsia="Times New Roman" w:hAnsi="Arial" w:cs="Arial"/>
          <w:color w:val="000000"/>
        </w:rPr>
        <w:t>   </w:t>
      </w:r>
      <w:hyperlink r:id="rId22" w:anchor="art2.6%C2%A71" w:history="1">
        <w:r w:rsidRPr="00CE681F">
          <w:rPr>
            <w:rFonts w:ascii="Arial" w:eastAsia="Times New Roman" w:hAnsi="Arial" w:cs="Arial"/>
            <w:color w:val="0000FF"/>
            <w:u w:val="single"/>
          </w:rPr>
          <w:t>(Incluído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10" w:name="art6§1"/>
      <w:bookmarkEnd w:id="10"/>
      <w:r w:rsidRPr="00CE681F">
        <w:rPr>
          <w:rFonts w:ascii="Arial" w:eastAsia="Times New Roman" w:hAnsi="Arial" w:cs="Arial"/>
          <w:color w:val="000000"/>
        </w:rPr>
        <w:t>§ 2</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Os estabelecimentos de ensino fundamental, médio e superior deverão expedir, a qualquer tempo, os documentos de transferência de seus alunos, independentemente de sua adimplência ou da adoção de procedimentos legais de cobranças judiciais. </w:t>
      </w:r>
      <w:hyperlink r:id="rId23" w:anchor="art2.6%C2%A71" w:history="1">
        <w:r w:rsidRPr="00CE681F">
          <w:rPr>
            <w:rFonts w:ascii="Arial" w:eastAsia="Times New Roman" w:hAnsi="Arial" w:cs="Arial"/>
            <w:color w:val="0000FF"/>
            <w:u w:val="single"/>
          </w:rPr>
          <w:t>(Renumerado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lastRenderedPageBreak/>
        <w:t>§ 3</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São asseguradas em estabelecimentos públicos de ensino fundamental e médio as matrículas dos alunos, cujos contratos, celebrados por seus pais ou responsáveis para a prestação de serviços educacionais, tenham sido suspensos em virtude de inadimplemento, nos termos do </w:t>
      </w:r>
      <w:r w:rsidRPr="00CE681F">
        <w:rPr>
          <w:rFonts w:ascii="Arial" w:eastAsia="Times New Roman" w:hAnsi="Arial" w:cs="Arial"/>
          <w:i/>
          <w:iCs/>
          <w:color w:val="000000"/>
        </w:rPr>
        <w:t>caput</w:t>
      </w:r>
      <w:r w:rsidRPr="00CE681F">
        <w:rPr>
          <w:rFonts w:ascii="Arial" w:eastAsia="Times New Roman" w:hAnsi="Arial" w:cs="Arial"/>
          <w:color w:val="000000"/>
        </w:rPr>
        <w:t> deste artigo. </w:t>
      </w:r>
      <w:hyperlink r:id="rId24" w:anchor="art2.6%C2%A71" w:history="1">
        <w:r w:rsidRPr="00CE681F">
          <w:rPr>
            <w:rFonts w:ascii="Arial" w:eastAsia="Times New Roman" w:hAnsi="Arial" w:cs="Arial"/>
            <w:color w:val="0000FF"/>
            <w:u w:val="single"/>
          </w:rPr>
          <w:t>(Renumerado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 4</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Na hipótese de os alunos a que se refere o § 2</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ou seus pais ou responsáveis, não terem providenciado a sua imediata matrícula em outro estabelecimento de sua livre escolha, as Secretarias de Educação estaduais e municipais deverão providenciá-la em estabelecimento de ensino da rede pública, em curso e série correspondentes aos cursados na escola de origem, de forma a garantir a continuidade de seus estudos no mesmo período letivo e a respeitar o disposto no inciso V do art. 53 do Estatuto da Criança e do Adolescente. </w:t>
      </w:r>
      <w:hyperlink r:id="rId25" w:anchor="art2.6%C2%A71" w:history="1">
        <w:r w:rsidRPr="00CE681F">
          <w:rPr>
            <w:rFonts w:ascii="Arial" w:eastAsia="Times New Roman" w:hAnsi="Arial" w:cs="Arial"/>
            <w:color w:val="0000FF"/>
            <w:u w:val="single"/>
          </w:rPr>
          <w:t>(Renumerado pela Medida Provisória nº 2.173-24, de 2001)</w:t>
        </w:r>
      </w:hyperlink>
    </w:p>
    <w:p w:rsidR="00CE681F" w:rsidRPr="00CE681F" w:rsidRDefault="00CE681F" w:rsidP="00CE681F">
      <w:pPr>
        <w:spacing w:before="100" w:beforeAutospacing="1" w:after="100" w:afterAutospacing="1"/>
        <w:ind w:firstLine="525"/>
        <w:rPr>
          <w:rFonts w:eastAsia="Times New Roman"/>
          <w:color w:val="000000"/>
          <w:sz w:val="27"/>
          <w:szCs w:val="27"/>
        </w:rPr>
      </w:pPr>
      <w:bookmarkStart w:id="11" w:name="art7"/>
      <w:bookmarkEnd w:id="11"/>
      <w:r w:rsidRPr="00CE681F">
        <w:rPr>
          <w:rFonts w:ascii="Arial" w:eastAsia="Times New Roman" w:hAnsi="Arial" w:cs="Arial"/>
          <w:color w:val="000000"/>
        </w:rPr>
        <w:t>Art. 7</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São legitimados à propositura das ações previstas na </w:t>
      </w:r>
      <w:hyperlink r:id="rId26" w:history="1">
        <w:r w:rsidRPr="00CE681F">
          <w:rPr>
            <w:rFonts w:ascii="Arial" w:eastAsia="Times New Roman" w:hAnsi="Arial" w:cs="Arial"/>
            <w:color w:val="0000FF"/>
            <w:u w:val="single"/>
          </w:rPr>
          <w:t xml:space="preserve">Lei nº 8.078, de </w:t>
        </w:r>
        <w:proofErr w:type="gramStart"/>
        <w:r w:rsidRPr="00CE681F">
          <w:rPr>
            <w:rFonts w:ascii="Arial" w:eastAsia="Times New Roman" w:hAnsi="Arial" w:cs="Arial"/>
            <w:color w:val="0000FF"/>
            <w:u w:val="single"/>
          </w:rPr>
          <w:t>1990,</w:t>
        </w:r>
        <w:proofErr w:type="gramEnd"/>
      </w:hyperlink>
      <w:r w:rsidRPr="00CE681F">
        <w:rPr>
          <w:rFonts w:ascii="Arial" w:eastAsia="Times New Roman" w:hAnsi="Arial" w:cs="Arial"/>
          <w:color w:val="000000"/>
        </w:rPr>
        <w:t> para a defesa dos direitos assegurados por esta Lei e pela legislação vigente, as associações de alunos, de pais de alunos e responsáveis, sendo indispensável, em qualquer caso, o apoio de, pelo menos, vinte por cento dos pais de alunos do estabelecimento de ensino ou dos alunos, no caso de ensino superior.</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12" w:name="art8"/>
      <w:bookmarkEnd w:id="12"/>
      <w:r w:rsidRPr="00CE681F">
        <w:rPr>
          <w:rFonts w:ascii="Arial" w:eastAsia="Times New Roman" w:hAnsi="Arial" w:cs="Arial"/>
          <w:color w:val="000000"/>
        </w:rPr>
        <w:t>Art. 8</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O art. 39 da Lei n</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8.078, de 1990, passa a vigorar acrescido do seguinte inciso:</w:t>
      </w:r>
    </w:p>
    <w:bookmarkStart w:id="13" w:name="art39xiii"/>
    <w:bookmarkEnd w:id="13"/>
    <w:p w:rsidR="00CE681F" w:rsidRPr="00CE681F" w:rsidRDefault="00CE681F" w:rsidP="00CE681F">
      <w:pPr>
        <w:spacing w:beforeAutospacing="1" w:afterAutospacing="1"/>
        <w:rPr>
          <w:rFonts w:eastAsia="Times New Roman"/>
          <w:color w:val="000000"/>
          <w:sz w:val="27"/>
          <w:szCs w:val="27"/>
        </w:rPr>
      </w:pPr>
      <w:r w:rsidRPr="00CE681F">
        <w:rPr>
          <w:rFonts w:ascii="Arial" w:eastAsia="Times New Roman" w:hAnsi="Arial" w:cs="Arial"/>
          <w:color w:val="000000"/>
        </w:rPr>
        <w:fldChar w:fldCharType="begin"/>
      </w:r>
      <w:r w:rsidRPr="00CE681F">
        <w:rPr>
          <w:rFonts w:ascii="Arial" w:eastAsia="Times New Roman" w:hAnsi="Arial" w:cs="Arial"/>
          <w:color w:val="000000"/>
        </w:rPr>
        <w:instrText xml:space="preserve"> HYPERLINK "https://www.planalto.gov.br/ccivil_03/leis/L8078.htm" \l "art39xiii" </w:instrText>
      </w:r>
      <w:r w:rsidRPr="00CE681F">
        <w:rPr>
          <w:rFonts w:ascii="Arial" w:eastAsia="Times New Roman" w:hAnsi="Arial" w:cs="Arial"/>
          <w:color w:val="000000"/>
        </w:rPr>
        <w:fldChar w:fldCharType="separate"/>
      </w:r>
      <w:r w:rsidRPr="00CE681F">
        <w:rPr>
          <w:rFonts w:ascii="Arial" w:eastAsia="Times New Roman" w:hAnsi="Arial" w:cs="Arial"/>
          <w:color w:val="0000FF"/>
          <w:u w:val="single"/>
        </w:rPr>
        <w:t>"XIII</w:t>
      </w:r>
      <w:r w:rsidRPr="00CE681F">
        <w:rPr>
          <w:rFonts w:ascii="Arial" w:eastAsia="Times New Roman" w:hAnsi="Arial" w:cs="Arial"/>
          <w:color w:val="000000"/>
        </w:rPr>
        <w:fldChar w:fldCharType="end"/>
      </w:r>
      <w:r w:rsidRPr="00CE681F">
        <w:rPr>
          <w:rFonts w:ascii="Arial" w:eastAsia="Times New Roman" w:hAnsi="Arial" w:cs="Arial"/>
          <w:color w:val="000000"/>
        </w:rPr>
        <w:t> - aplicar fórmula ou índice de reajuste diverso do legal ou contratualmente estabelecido."</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14" w:name="art9"/>
      <w:bookmarkEnd w:id="14"/>
      <w:r w:rsidRPr="00CE681F">
        <w:rPr>
          <w:rFonts w:ascii="Arial" w:eastAsia="Times New Roman" w:hAnsi="Arial" w:cs="Arial"/>
          <w:color w:val="000000"/>
        </w:rPr>
        <w:t>Art. 9</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A </w:t>
      </w:r>
      <w:hyperlink r:id="rId27" w:history="1">
        <w:r w:rsidRPr="00CE681F">
          <w:rPr>
            <w:rFonts w:ascii="Arial" w:eastAsia="Times New Roman" w:hAnsi="Arial" w:cs="Arial"/>
            <w:color w:val="0000FF"/>
            <w:u w:val="single"/>
          </w:rPr>
          <w:t>Lei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9.131, de 24 de novembro de 1995</w:t>
        </w:r>
      </w:hyperlink>
      <w:r w:rsidRPr="00CE681F">
        <w:rPr>
          <w:rFonts w:ascii="Arial" w:eastAsia="Times New Roman" w:hAnsi="Arial" w:cs="Arial"/>
          <w:color w:val="000000"/>
        </w:rPr>
        <w:t>, passa a vigorar acrescida dos seguintes artigos:</w:t>
      </w:r>
    </w:p>
    <w:p w:rsidR="00CE681F" w:rsidRPr="00CE681F" w:rsidRDefault="00CE681F" w:rsidP="00CE681F">
      <w:pPr>
        <w:spacing w:beforeAutospacing="1" w:after="100" w:afterAutospacing="1"/>
        <w:rPr>
          <w:rFonts w:eastAsia="Times New Roman"/>
          <w:color w:val="000000"/>
          <w:sz w:val="27"/>
          <w:szCs w:val="27"/>
        </w:rPr>
      </w:pPr>
      <w:r w:rsidRPr="00CE681F">
        <w:rPr>
          <w:rFonts w:ascii="Arial" w:eastAsia="Times New Roman" w:hAnsi="Arial" w:cs="Arial"/>
          <w:color w:val="000000"/>
        </w:rPr>
        <w:t>"</w:t>
      </w:r>
      <w:hyperlink r:id="rId28" w:anchor="art7a" w:history="1">
        <w:r w:rsidRPr="00CE681F">
          <w:rPr>
            <w:rFonts w:ascii="Arial" w:eastAsia="Times New Roman" w:hAnsi="Arial" w:cs="Arial"/>
            <w:color w:val="0000FF"/>
            <w:u w:val="single"/>
          </w:rPr>
          <w:t>Art. 7</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-A</w:t>
        </w:r>
      </w:hyperlink>
      <w:r w:rsidRPr="00CE681F">
        <w:rPr>
          <w:rFonts w:ascii="Arial" w:eastAsia="Times New Roman" w:hAnsi="Arial" w:cs="Arial"/>
          <w:color w:val="000000"/>
        </w:rPr>
        <w:t>. As pessoas jurídicas de direito privado, mantenedoras de instituições de ensino superior, previstas no inciso II do art. 19 da Lei n</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9.394, de 20 de dezembro de 1996, poderão assumir qualquer das formas admitidas em direito, de natureza civil ou comercial e, quando constituídas como fundações, serão regidas pelo disposto no art. 24 do Código Civil Brasileiro.</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Parágrafo único. Quaisquer alterações estatutárias na entidade mantenedora, devidamente averbadas pelos órgãos competentes, deverão ser comunicadas ao Ministério da Educação, para as devidas providências.</w:t>
      </w:r>
    </w:p>
    <w:p w:rsidR="00CE681F" w:rsidRPr="00CE681F" w:rsidRDefault="00CE681F" w:rsidP="00CE681F">
      <w:pPr>
        <w:spacing w:before="100" w:beforeAutospacing="1" w:after="100" w:afterAutospacing="1"/>
        <w:rPr>
          <w:rFonts w:eastAsia="Times New Roman"/>
          <w:color w:val="000000"/>
          <w:sz w:val="27"/>
          <w:szCs w:val="27"/>
        </w:rPr>
      </w:pPr>
      <w:hyperlink r:id="rId29" w:anchor="art7b" w:history="1">
        <w:r w:rsidRPr="00CE681F">
          <w:rPr>
            <w:rFonts w:ascii="Arial" w:eastAsia="Times New Roman" w:hAnsi="Arial" w:cs="Arial"/>
            <w:color w:val="0000FF"/>
            <w:u w:val="single"/>
          </w:rPr>
          <w:t>Art. 7</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-B</w:t>
        </w:r>
      </w:hyperlink>
      <w:r w:rsidRPr="00CE681F">
        <w:rPr>
          <w:rFonts w:ascii="Arial" w:eastAsia="Times New Roman" w:hAnsi="Arial" w:cs="Arial"/>
          <w:color w:val="000000"/>
        </w:rPr>
        <w:t>. As entidades mantenedoras de instituições de ensino superior, sem finalidade lucrativa, deverão:</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I - elaborar e publicar em cada exercício social demonstrações financeiras, com o parecer do conselho fiscal, ou órgão similar;</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 xml:space="preserve">II - manter escrituração completa e regular de todos os livros fiscais, na forma da legislação pertinente, bem como de quaisquer outros atos ou operações que </w:t>
      </w:r>
      <w:r w:rsidRPr="00CE681F">
        <w:rPr>
          <w:rFonts w:ascii="Arial" w:eastAsia="Times New Roman" w:hAnsi="Arial" w:cs="Arial"/>
          <w:color w:val="000000"/>
        </w:rPr>
        <w:lastRenderedPageBreak/>
        <w:t>venham a modificar sua situação patrimonial, em livros revestidos de formalidades que assegurem a respectiva exatidão;</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III - conservar em boa ordem, pelo prazo de cinco anos, contado da data de emissão, os documentos que comprovem a origem de suas receitas e a efetivação de suas despesas, bem como a realização de quaisquer outros atos ou operações que venham a modificar sua situação patrimonial;</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IV - submeter-se, a qualquer tempo, a auditoria pelo Poder Público;</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V - destinar seu patrimônio a outra instituição congênere ou ao Poder Público, no caso de encerramento de suas atividades, promovendo, se necessário, a alteração estatutária correspondente;</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VI - comprovar, sempre que solicitada pelo órgão competente:</w:t>
      </w:r>
    </w:p>
    <w:p w:rsidR="00CE681F" w:rsidRPr="00CE681F" w:rsidRDefault="00CE681F" w:rsidP="00CE681F">
      <w:pPr>
        <w:spacing w:before="100" w:beforeAutospacing="1" w:after="100" w:afterAutospacing="1"/>
        <w:rPr>
          <w:rFonts w:eastAsia="Times New Roman"/>
          <w:color w:val="000000"/>
          <w:sz w:val="27"/>
          <w:szCs w:val="27"/>
        </w:rPr>
      </w:pPr>
      <w:proofErr w:type="gramStart"/>
      <w:r w:rsidRPr="00CE681F">
        <w:rPr>
          <w:rFonts w:ascii="Arial" w:eastAsia="Times New Roman" w:hAnsi="Arial" w:cs="Arial"/>
          <w:color w:val="000000"/>
        </w:rPr>
        <w:t>a</w:t>
      </w:r>
      <w:proofErr w:type="gramEnd"/>
      <w:r w:rsidRPr="00CE681F">
        <w:rPr>
          <w:rFonts w:ascii="Arial" w:eastAsia="Times New Roman" w:hAnsi="Arial" w:cs="Arial"/>
          <w:color w:val="000000"/>
        </w:rPr>
        <w:t>)</w:t>
      </w:r>
      <w:r w:rsidRPr="00CE681F">
        <w:rPr>
          <w:rFonts w:ascii="Arial" w:eastAsia="Times New Roman" w:hAnsi="Arial" w:cs="Arial"/>
          <w:i/>
          <w:iCs/>
          <w:color w:val="000000"/>
        </w:rPr>
        <w:t> </w:t>
      </w:r>
      <w:r w:rsidRPr="00CE681F">
        <w:rPr>
          <w:rFonts w:ascii="Arial" w:eastAsia="Times New Roman" w:hAnsi="Arial" w:cs="Arial"/>
          <w:color w:val="000000"/>
        </w:rPr>
        <w:t>a aplicação dos seus excedentes financeiros para os fins da instituição de ensino;</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 xml:space="preserve">b) a não-remuneração ou concessão de vantagens ou benefícios, por qualquer forma ou título, </w:t>
      </w:r>
      <w:proofErr w:type="gramStart"/>
      <w:r w:rsidRPr="00CE681F">
        <w:rPr>
          <w:rFonts w:ascii="Arial" w:eastAsia="Times New Roman" w:hAnsi="Arial" w:cs="Arial"/>
          <w:color w:val="000000"/>
        </w:rPr>
        <w:t>a seus instituidores</w:t>
      </w:r>
      <w:proofErr w:type="gramEnd"/>
      <w:r w:rsidRPr="00CE681F">
        <w:rPr>
          <w:rFonts w:ascii="Arial" w:eastAsia="Times New Roman" w:hAnsi="Arial" w:cs="Arial"/>
          <w:color w:val="000000"/>
        </w:rPr>
        <w:t>, dirigentes, sócios, conselheiros ou equivalentes.</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rPr>
        <w:t>Parágrafo único. A comprovação do disposto neste artigo é indispensável, para fins de credenciamento e recredenciamento da instituição de ensino superior.</w:t>
      </w:r>
    </w:p>
    <w:p w:rsidR="00CE681F" w:rsidRPr="00CE681F" w:rsidRDefault="00CE681F" w:rsidP="00CE681F">
      <w:pPr>
        <w:spacing w:before="100" w:beforeAutospacing="1" w:after="100" w:afterAutospacing="1"/>
        <w:rPr>
          <w:rFonts w:eastAsia="Times New Roman"/>
          <w:color w:val="000000"/>
          <w:sz w:val="27"/>
          <w:szCs w:val="27"/>
        </w:rPr>
      </w:pPr>
      <w:hyperlink r:id="rId30" w:anchor="art7c" w:history="1">
        <w:r w:rsidRPr="00CE681F">
          <w:rPr>
            <w:rFonts w:ascii="Arial" w:eastAsia="Times New Roman" w:hAnsi="Arial" w:cs="Arial"/>
            <w:color w:val="0000FF"/>
            <w:u w:val="single"/>
          </w:rPr>
          <w:t>Art. 7</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-C</w:t>
        </w:r>
      </w:hyperlink>
      <w:r w:rsidRPr="00CE681F">
        <w:rPr>
          <w:rFonts w:ascii="Arial" w:eastAsia="Times New Roman" w:hAnsi="Arial" w:cs="Arial"/>
          <w:color w:val="000000"/>
        </w:rPr>
        <w:t>. As entidades mantenedoras de instituições privadas de ensino superior comunitárias, confessionais e filantrópicas ou constituídas como fundações não poderão ter finalidade lucrativa e deverão adotar os preceitos do art. 14 do Código Tributário Nacional e do art. 55 da Lei n</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8.212, de 24 de julho de 1991, além de atender ao disposto no art. 7</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-B.</w:t>
      </w:r>
    </w:p>
    <w:p w:rsidR="00CE681F" w:rsidRPr="00CE681F" w:rsidRDefault="00CE681F" w:rsidP="00CE681F">
      <w:pPr>
        <w:spacing w:before="100" w:beforeAutospacing="1" w:afterAutospacing="1"/>
        <w:rPr>
          <w:rFonts w:eastAsia="Times New Roman"/>
          <w:color w:val="000000"/>
          <w:sz w:val="27"/>
          <w:szCs w:val="27"/>
        </w:rPr>
      </w:pPr>
      <w:hyperlink r:id="rId31" w:anchor="art7d" w:history="1">
        <w:r w:rsidRPr="00CE681F">
          <w:rPr>
            <w:rFonts w:ascii="Arial" w:eastAsia="Times New Roman" w:hAnsi="Arial" w:cs="Arial"/>
            <w:color w:val="0000FF"/>
            <w:u w:val="single"/>
          </w:rPr>
          <w:t>Art. 7</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w:t>
        </w:r>
        <w:proofErr w:type="gramStart"/>
        <w:r w:rsidRPr="00CE681F">
          <w:rPr>
            <w:rFonts w:ascii="Arial" w:eastAsia="Times New Roman" w:hAnsi="Arial" w:cs="Arial"/>
            <w:color w:val="0000FF"/>
            <w:u w:val="single"/>
          </w:rPr>
          <w:t>D.</w:t>
        </w:r>
        <w:proofErr w:type="gramEnd"/>
      </w:hyperlink>
      <w:r w:rsidRPr="00CE681F">
        <w:rPr>
          <w:rFonts w:ascii="Arial" w:eastAsia="Times New Roman" w:hAnsi="Arial" w:cs="Arial"/>
          <w:color w:val="000000"/>
        </w:rPr>
        <w:t> As entidades mantenedoras de instituições de ensino superior, com finalidade lucrativa, ainda que de natureza civil, deverão elaborar, em cada exercício social, demonstrações financeiras atestadas por profissionais competentes."</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15" w:name="art10"/>
      <w:bookmarkEnd w:id="15"/>
      <w:r w:rsidRPr="00CE681F">
        <w:rPr>
          <w:rFonts w:ascii="Arial" w:eastAsia="Times New Roman" w:hAnsi="Arial" w:cs="Arial"/>
          <w:color w:val="000000"/>
        </w:rPr>
        <w:t>Art. 10. Continuam a produzir efeitos os atos praticados com base na </w:t>
      </w:r>
      <w:hyperlink r:id="rId32" w:history="1">
        <w:r w:rsidRPr="00CE681F">
          <w:rPr>
            <w:rFonts w:ascii="Arial" w:eastAsia="Times New Roman" w:hAnsi="Arial" w:cs="Arial"/>
            <w:color w:val="0000FF"/>
            <w:u w:val="single"/>
          </w:rPr>
          <w:t>Medida Provisória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1.890-66, de 24 de setembro de 1999</w:t>
        </w:r>
      </w:hyperlink>
      <w:r w:rsidRPr="00CE681F">
        <w:rPr>
          <w:rFonts w:ascii="Arial" w:eastAsia="Times New Roman" w:hAnsi="Arial" w:cs="Arial"/>
          <w:color w:val="000000"/>
        </w:rPr>
        <w:t>, e nas suas antecessoras.</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16" w:name="art11"/>
      <w:bookmarkEnd w:id="16"/>
      <w:r w:rsidRPr="00CE681F">
        <w:rPr>
          <w:rFonts w:ascii="Arial" w:eastAsia="Times New Roman" w:hAnsi="Arial" w:cs="Arial"/>
          <w:color w:val="000000"/>
        </w:rPr>
        <w:t>Art. 11. Esta Lei entra em vigor na data de sua publicação.</w:t>
      </w:r>
    </w:p>
    <w:p w:rsidR="00CE681F" w:rsidRPr="00CE681F" w:rsidRDefault="00CE681F" w:rsidP="00CE681F">
      <w:pPr>
        <w:spacing w:before="100" w:beforeAutospacing="1" w:after="100" w:afterAutospacing="1"/>
        <w:ind w:firstLine="525"/>
        <w:rPr>
          <w:rFonts w:eastAsia="Times New Roman"/>
          <w:color w:val="000000"/>
          <w:sz w:val="27"/>
          <w:szCs w:val="27"/>
        </w:rPr>
      </w:pPr>
      <w:bookmarkStart w:id="17" w:name="art12"/>
      <w:bookmarkEnd w:id="17"/>
      <w:r w:rsidRPr="00CE681F">
        <w:rPr>
          <w:rFonts w:ascii="Arial" w:eastAsia="Times New Roman" w:hAnsi="Arial" w:cs="Arial"/>
          <w:color w:val="000000"/>
        </w:rPr>
        <w:t>Art. 12. Revogam-se a </w:t>
      </w:r>
      <w:hyperlink r:id="rId33" w:history="1">
        <w:r w:rsidRPr="00CE681F">
          <w:rPr>
            <w:rFonts w:ascii="Arial" w:eastAsia="Times New Roman" w:hAnsi="Arial" w:cs="Arial"/>
            <w:color w:val="0000FF"/>
            <w:u w:val="single"/>
          </w:rPr>
          <w:t>Lei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8.170, de 17 de janeiro de 1991</w:t>
        </w:r>
      </w:hyperlink>
      <w:r w:rsidRPr="00CE681F">
        <w:rPr>
          <w:rFonts w:ascii="Arial" w:eastAsia="Times New Roman" w:hAnsi="Arial" w:cs="Arial"/>
          <w:color w:val="000000"/>
        </w:rPr>
        <w:t>; o </w:t>
      </w:r>
      <w:hyperlink r:id="rId34" w:anchor="14" w:history="1">
        <w:r w:rsidRPr="00CE681F">
          <w:rPr>
            <w:rFonts w:ascii="Arial" w:eastAsia="Times New Roman" w:hAnsi="Arial" w:cs="Arial"/>
            <w:color w:val="0000FF"/>
            <w:u w:val="single"/>
          </w:rPr>
          <w:t>art. 14 da Lei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8.178, de 1</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de março de 1991</w:t>
        </w:r>
      </w:hyperlink>
      <w:r w:rsidRPr="00CE681F">
        <w:rPr>
          <w:rFonts w:ascii="Arial" w:eastAsia="Times New Roman" w:hAnsi="Arial" w:cs="Arial"/>
          <w:color w:val="000000"/>
        </w:rPr>
        <w:t>; e a </w:t>
      </w:r>
      <w:hyperlink r:id="rId35" w:history="1">
        <w:r w:rsidRPr="00CE681F">
          <w:rPr>
            <w:rFonts w:ascii="Arial" w:eastAsia="Times New Roman" w:hAnsi="Arial" w:cs="Arial"/>
            <w:color w:val="0000FF"/>
            <w:u w:val="single"/>
          </w:rPr>
          <w:t>Lei n</w:t>
        </w:r>
        <w:r w:rsidRPr="00CE681F">
          <w:rPr>
            <w:rFonts w:ascii="Arial" w:eastAsia="Times New Roman" w:hAnsi="Arial" w:cs="Arial"/>
            <w:color w:val="0000FF"/>
            <w:u w:val="single"/>
            <w:vertAlign w:val="superscript"/>
          </w:rPr>
          <w:t>o</w:t>
        </w:r>
        <w:r w:rsidRPr="00CE681F">
          <w:rPr>
            <w:rFonts w:ascii="Arial" w:eastAsia="Times New Roman" w:hAnsi="Arial" w:cs="Arial"/>
            <w:color w:val="0000FF"/>
            <w:u w:val="single"/>
          </w:rPr>
          <w:t xml:space="preserve"> 8.747, de </w:t>
        </w:r>
        <w:proofErr w:type="gramStart"/>
        <w:r w:rsidRPr="00CE681F">
          <w:rPr>
            <w:rFonts w:ascii="Arial" w:eastAsia="Times New Roman" w:hAnsi="Arial" w:cs="Arial"/>
            <w:color w:val="0000FF"/>
            <w:u w:val="single"/>
          </w:rPr>
          <w:t>9</w:t>
        </w:r>
        <w:proofErr w:type="gramEnd"/>
        <w:r w:rsidRPr="00CE681F">
          <w:rPr>
            <w:rFonts w:ascii="Arial" w:eastAsia="Times New Roman" w:hAnsi="Arial" w:cs="Arial"/>
            <w:color w:val="0000FF"/>
            <w:u w:val="single"/>
          </w:rPr>
          <w:t xml:space="preserve"> de dezembro de 1993</w:t>
        </w:r>
      </w:hyperlink>
      <w:r w:rsidRPr="00CE681F">
        <w:rPr>
          <w:rFonts w:ascii="Arial" w:eastAsia="Times New Roman" w:hAnsi="Arial" w:cs="Arial"/>
          <w:color w:val="000000"/>
        </w:rPr>
        <w:t>.</w:t>
      </w:r>
    </w:p>
    <w:p w:rsidR="00CE681F" w:rsidRPr="00CE681F" w:rsidRDefault="00CE681F" w:rsidP="00CE681F">
      <w:pPr>
        <w:spacing w:before="100" w:beforeAutospacing="1" w:after="100" w:afterAutospacing="1"/>
        <w:ind w:firstLine="525"/>
        <w:rPr>
          <w:rFonts w:eastAsia="Times New Roman"/>
          <w:color w:val="000000"/>
          <w:sz w:val="27"/>
          <w:szCs w:val="27"/>
        </w:rPr>
      </w:pPr>
      <w:r w:rsidRPr="00CE681F">
        <w:rPr>
          <w:rFonts w:ascii="Arial" w:eastAsia="Times New Roman" w:hAnsi="Arial" w:cs="Arial"/>
          <w:color w:val="000000"/>
        </w:rPr>
        <w:t>Brasília, 23 de novembro de 1999; 178</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da Independência e 111</w:t>
      </w:r>
      <w:r w:rsidRPr="00CE681F">
        <w:rPr>
          <w:rFonts w:ascii="Arial" w:eastAsia="Times New Roman" w:hAnsi="Arial" w:cs="Arial"/>
          <w:color w:val="000000"/>
          <w:u w:val="single"/>
          <w:vertAlign w:val="superscript"/>
        </w:rPr>
        <w:t>o</w:t>
      </w:r>
      <w:r w:rsidRPr="00CE681F">
        <w:rPr>
          <w:rFonts w:ascii="Arial" w:eastAsia="Times New Roman" w:hAnsi="Arial" w:cs="Arial"/>
          <w:color w:val="000000"/>
        </w:rPr>
        <w:t> da República.</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000000"/>
          <w:sz w:val="20"/>
          <w:szCs w:val="20"/>
        </w:rPr>
        <w:lastRenderedPageBreak/>
        <w:t>FERNANDO HENRIQUE CARDOSO</w:t>
      </w:r>
      <w:r w:rsidRPr="00CE681F">
        <w:rPr>
          <w:rFonts w:ascii="Arial" w:eastAsia="Times New Roman" w:hAnsi="Arial" w:cs="Arial"/>
          <w:color w:val="000000"/>
          <w:sz w:val="20"/>
          <w:szCs w:val="20"/>
        </w:rPr>
        <w:br/>
      </w:r>
      <w:r w:rsidRPr="00CE681F">
        <w:rPr>
          <w:rFonts w:ascii="Arial" w:eastAsia="Times New Roman" w:hAnsi="Arial" w:cs="Arial"/>
          <w:i/>
          <w:iCs/>
          <w:color w:val="000000"/>
          <w:sz w:val="20"/>
        </w:rPr>
        <w:t>José Carlos Dias</w:t>
      </w:r>
      <w:r w:rsidRPr="00CE681F">
        <w:rPr>
          <w:rFonts w:ascii="Arial" w:eastAsia="Times New Roman" w:hAnsi="Arial" w:cs="Arial"/>
          <w:i/>
          <w:iCs/>
          <w:color w:val="000000"/>
          <w:sz w:val="20"/>
          <w:szCs w:val="20"/>
        </w:rPr>
        <w:br/>
      </w:r>
      <w:r w:rsidRPr="00CE681F">
        <w:rPr>
          <w:rFonts w:ascii="Arial" w:eastAsia="Times New Roman" w:hAnsi="Arial" w:cs="Arial"/>
          <w:i/>
          <w:iCs/>
          <w:color w:val="000000"/>
          <w:sz w:val="20"/>
        </w:rPr>
        <w:t>Pedro Malan</w:t>
      </w:r>
      <w:r w:rsidRPr="00CE681F">
        <w:rPr>
          <w:rFonts w:ascii="Arial" w:eastAsia="Times New Roman" w:hAnsi="Arial" w:cs="Arial"/>
          <w:i/>
          <w:iCs/>
          <w:color w:val="000000"/>
          <w:sz w:val="20"/>
          <w:szCs w:val="20"/>
        </w:rPr>
        <w:br/>
      </w:r>
      <w:r w:rsidRPr="00CE681F">
        <w:rPr>
          <w:rFonts w:ascii="Arial" w:eastAsia="Times New Roman" w:hAnsi="Arial" w:cs="Arial"/>
          <w:i/>
          <w:iCs/>
          <w:color w:val="000000"/>
          <w:sz w:val="20"/>
        </w:rPr>
        <w:t>Paulo Renato Souza</w:t>
      </w:r>
    </w:p>
    <w:p w:rsidR="00CE681F" w:rsidRPr="00CE681F" w:rsidRDefault="00CE681F" w:rsidP="00CE681F">
      <w:pPr>
        <w:spacing w:before="100" w:beforeAutospacing="1" w:after="100" w:afterAutospacing="1"/>
        <w:rPr>
          <w:rFonts w:eastAsia="Times New Roman"/>
          <w:color w:val="000000"/>
          <w:sz w:val="27"/>
          <w:szCs w:val="27"/>
        </w:rPr>
      </w:pPr>
      <w:r w:rsidRPr="00CE681F">
        <w:rPr>
          <w:rFonts w:ascii="Arial" w:eastAsia="Times New Roman" w:hAnsi="Arial" w:cs="Arial"/>
          <w:color w:val="FF0000"/>
        </w:rPr>
        <w:t>Este texto não substitui o publicado no DOU de 24.11.1999 (Edição extra)</w:t>
      </w:r>
    </w:p>
    <w:p w:rsidR="00CE681F" w:rsidRPr="00CE681F" w:rsidRDefault="00CE681F" w:rsidP="00CE681F">
      <w:pPr>
        <w:spacing w:before="100" w:beforeAutospacing="1" w:after="100" w:afterAutospacing="1"/>
        <w:jc w:val="center"/>
        <w:rPr>
          <w:rFonts w:eastAsia="Times New Roman"/>
          <w:color w:val="000000"/>
          <w:sz w:val="27"/>
          <w:szCs w:val="27"/>
        </w:rPr>
      </w:pPr>
      <w:r w:rsidRPr="00CE681F">
        <w:rPr>
          <w:rFonts w:ascii="Arial" w:eastAsia="Times New Roman" w:hAnsi="Arial" w:cs="Arial"/>
          <w:color w:val="FF0000"/>
          <w:sz w:val="27"/>
          <w:szCs w:val="27"/>
        </w:rPr>
        <w:t>*</w:t>
      </w:r>
    </w:p>
    <w:p w:rsidR="00A72EE5" w:rsidRDefault="00A72EE5"/>
    <w:sectPr w:rsidR="00A72EE5" w:rsidSect="00A72E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681F"/>
    <w:rsid w:val="0000613C"/>
    <w:rsid w:val="00033DF7"/>
    <w:rsid w:val="00307C8E"/>
    <w:rsid w:val="00334D82"/>
    <w:rsid w:val="0056591D"/>
    <w:rsid w:val="007C5D65"/>
    <w:rsid w:val="0083377D"/>
    <w:rsid w:val="00916AFA"/>
    <w:rsid w:val="00A72EE5"/>
    <w:rsid w:val="00CE681F"/>
    <w:rsid w:val="00E1411C"/>
    <w:rsid w:val="00E25338"/>
    <w:rsid w:val="00EE7B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38"/>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377D"/>
    <w:rPr>
      <w:b/>
      <w:bCs/>
    </w:rPr>
  </w:style>
  <w:style w:type="character" w:styleId="nfase">
    <w:name w:val="Emphasis"/>
    <w:basedOn w:val="Fontepargpadro"/>
    <w:uiPriority w:val="20"/>
    <w:qFormat/>
    <w:rsid w:val="0083377D"/>
    <w:rPr>
      <w:i/>
      <w:iCs/>
    </w:rPr>
  </w:style>
  <w:style w:type="paragraph" w:styleId="Ttulo">
    <w:name w:val="Title"/>
    <w:basedOn w:val="Normal"/>
    <w:link w:val="TtuloChar"/>
    <w:qFormat/>
    <w:rsid w:val="00E25338"/>
    <w:pPr>
      <w:jc w:val="center"/>
    </w:pPr>
    <w:rPr>
      <w:rFonts w:eastAsia="Times New Roman"/>
      <w:b/>
      <w:bCs/>
      <w:u w:val="single"/>
    </w:rPr>
  </w:style>
  <w:style w:type="character" w:customStyle="1" w:styleId="TtuloChar">
    <w:name w:val="Título Char"/>
    <w:link w:val="Ttulo"/>
    <w:rsid w:val="00E25338"/>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E25338"/>
    <w:pPr>
      <w:ind w:left="708"/>
    </w:pPr>
    <w:rPr>
      <w:rFonts w:eastAsia="Times New Roman"/>
    </w:rPr>
  </w:style>
  <w:style w:type="paragraph" w:styleId="NormalWeb">
    <w:name w:val="Normal (Web)"/>
    <w:basedOn w:val="Normal"/>
    <w:uiPriority w:val="99"/>
    <w:unhideWhenUsed/>
    <w:rsid w:val="00CE681F"/>
    <w:pPr>
      <w:spacing w:before="100" w:beforeAutospacing="1" w:after="100" w:afterAutospacing="1"/>
    </w:pPr>
    <w:rPr>
      <w:rFonts w:eastAsia="Times New Roman"/>
    </w:rPr>
  </w:style>
  <w:style w:type="character" w:styleId="Hyperlink">
    <w:name w:val="Hyperlink"/>
    <w:basedOn w:val="Fontepargpadro"/>
    <w:uiPriority w:val="99"/>
    <w:semiHidden/>
    <w:unhideWhenUsed/>
    <w:rsid w:val="00CE681F"/>
    <w:rPr>
      <w:color w:val="0000FF"/>
      <w:u w:val="single"/>
    </w:rPr>
  </w:style>
</w:styles>
</file>

<file path=word/webSettings.xml><?xml version="1.0" encoding="utf-8"?>
<w:webSettings xmlns:r="http://schemas.openxmlformats.org/officeDocument/2006/relationships" xmlns:w="http://schemas.openxmlformats.org/wordprocessingml/2006/main">
  <w:divs>
    <w:div w:id="1470979270">
      <w:bodyDiv w:val="1"/>
      <w:marLeft w:val="0"/>
      <w:marRight w:val="0"/>
      <w:marTop w:val="0"/>
      <w:marBottom w:val="0"/>
      <w:divBdr>
        <w:top w:val="none" w:sz="0" w:space="0" w:color="auto"/>
        <w:left w:val="none" w:sz="0" w:space="0" w:color="auto"/>
        <w:bottom w:val="none" w:sz="0" w:space="0" w:color="auto"/>
        <w:right w:val="none" w:sz="0" w:space="0" w:color="auto"/>
      </w:divBdr>
      <w:divsChild>
        <w:div w:id="1542745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81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268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844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MPV/Antigas/1930.htm" TargetMode="External"/><Relationship Id="rId13" Type="http://schemas.openxmlformats.org/officeDocument/2006/relationships/hyperlink" Target="https://www.planalto.gov.br/ccivil_03/MPV/Antigas/1930.htm" TargetMode="External"/><Relationship Id="rId18" Type="http://schemas.openxmlformats.org/officeDocument/2006/relationships/hyperlink" Target="https://www.planalto.gov.br/ccivil_03/leis/Mensagem_Veto/1999/Mv1749-99.htm" TargetMode="External"/><Relationship Id="rId26" Type="http://schemas.openxmlformats.org/officeDocument/2006/relationships/hyperlink" Target="https://www.planalto.gov.br/ccivil_03/leis/L8078.htm" TargetMode="External"/><Relationship Id="rId3" Type="http://schemas.openxmlformats.org/officeDocument/2006/relationships/webSettings" Target="webSettings.xml"/><Relationship Id="rId21" Type="http://schemas.openxmlformats.org/officeDocument/2006/relationships/hyperlink" Target="https://www.planalto.gov.br/ccivil_03/MPV/Antigas/1930.htm" TargetMode="External"/><Relationship Id="rId34" Type="http://schemas.openxmlformats.org/officeDocument/2006/relationships/hyperlink" Target="https://www.planalto.gov.br/ccivil_03/leis/L8178.htm" TargetMode="External"/><Relationship Id="rId7" Type="http://schemas.openxmlformats.org/officeDocument/2006/relationships/hyperlink" Target="https://www.planalto.gov.br/ccivil_03/leis/Mensagem_Veto/1999/Mv1749-99.htm" TargetMode="External"/><Relationship Id="rId12" Type="http://schemas.openxmlformats.org/officeDocument/2006/relationships/hyperlink" Target="https://www.planalto.gov.br/ccivil_03/MPV/2173-24.htm" TargetMode="External"/><Relationship Id="rId17" Type="http://schemas.openxmlformats.org/officeDocument/2006/relationships/hyperlink" Target="https://www.planalto.gov.br/ccivil_03/_Ato2011-2014/2013/Lei/L12886.htm" TargetMode="External"/><Relationship Id="rId25" Type="http://schemas.openxmlformats.org/officeDocument/2006/relationships/hyperlink" Target="https://www.planalto.gov.br/ccivil_03/MPV/2173-24.htm" TargetMode="External"/><Relationship Id="rId33" Type="http://schemas.openxmlformats.org/officeDocument/2006/relationships/hyperlink" Target="https://www.planalto.gov.br/ccivil_03/leis/L8170.htm" TargetMode="External"/><Relationship Id="rId2" Type="http://schemas.openxmlformats.org/officeDocument/2006/relationships/settings" Target="settings.xml"/><Relationship Id="rId16" Type="http://schemas.openxmlformats.org/officeDocument/2006/relationships/hyperlink" Target="https://www.planalto.gov.br/ccivil_03/MPV/2173-24.htm" TargetMode="External"/><Relationship Id="rId20" Type="http://schemas.openxmlformats.org/officeDocument/2006/relationships/hyperlink" Target="https://www.planalto.gov.br/ccivil_03/leis/L8078.htm" TargetMode="External"/><Relationship Id="rId29" Type="http://schemas.openxmlformats.org/officeDocument/2006/relationships/hyperlink" Target="https://www.planalto.gov.br/ccivil_03/leis/L9131.htm" TargetMode="External"/><Relationship Id="rId1" Type="http://schemas.openxmlformats.org/officeDocument/2006/relationships/styles" Target="styles.xml"/><Relationship Id="rId6" Type="http://schemas.openxmlformats.org/officeDocument/2006/relationships/hyperlink" Target="https://www.planalto.gov.br/ccivil_03/MPV/Antigas/1890-67.htm" TargetMode="External"/><Relationship Id="rId11" Type="http://schemas.openxmlformats.org/officeDocument/2006/relationships/hyperlink" Target="https://www.planalto.gov.br/ccivil_03/decreto/D3274.htm" TargetMode="External"/><Relationship Id="rId24" Type="http://schemas.openxmlformats.org/officeDocument/2006/relationships/hyperlink" Target="https://www.planalto.gov.br/ccivil_03/MPV/2173-24.htm" TargetMode="External"/><Relationship Id="rId32" Type="http://schemas.openxmlformats.org/officeDocument/2006/relationships/hyperlink" Target="https://www.planalto.gov.br/ccivil_03/MPV/Antigas/1890-66.htm" TargetMode="External"/><Relationship Id="rId37" Type="http://schemas.openxmlformats.org/officeDocument/2006/relationships/theme" Target="theme/theme1.xml"/><Relationship Id="rId5" Type="http://schemas.openxmlformats.org/officeDocument/2006/relationships/hyperlink" Target="https://www.planalto.gov.br/ccivil_03/leis/Mensagem_Veto/1999/Mv1749-99.htm" TargetMode="External"/><Relationship Id="rId15" Type="http://schemas.openxmlformats.org/officeDocument/2006/relationships/hyperlink" Target="https://www.planalto.gov.br/ccivil_03/MPV/Antigas/1930.htm" TargetMode="External"/><Relationship Id="rId23" Type="http://schemas.openxmlformats.org/officeDocument/2006/relationships/hyperlink" Target="https://www.planalto.gov.br/ccivil_03/MPV/2173-24.htm" TargetMode="External"/><Relationship Id="rId28" Type="http://schemas.openxmlformats.org/officeDocument/2006/relationships/hyperlink" Target="https://www.planalto.gov.br/ccivil_03/leis/L9131.htm" TargetMode="External"/><Relationship Id="rId36" Type="http://schemas.openxmlformats.org/officeDocument/2006/relationships/fontTable" Target="fontTable.xml"/><Relationship Id="rId10" Type="http://schemas.openxmlformats.org/officeDocument/2006/relationships/hyperlink" Target="https://www.planalto.gov.br/ccivil_03/MPV/Antigas/1930.htm" TargetMode="External"/><Relationship Id="rId19" Type="http://schemas.openxmlformats.org/officeDocument/2006/relationships/hyperlink" Target="https://www.planalto.gov.br/ccivil_03/leis/Mensagem_Veto/1999/Mv1749-99.htm" TargetMode="External"/><Relationship Id="rId31" Type="http://schemas.openxmlformats.org/officeDocument/2006/relationships/hyperlink" Target="https://www.planalto.gov.br/ccivil_03/leis/L9131.htm" TargetMode="External"/><Relationship Id="rId4" Type="http://schemas.openxmlformats.org/officeDocument/2006/relationships/hyperlink" Target="http://legislacao.planalto.gov.br/legisla/legislacao.nsf/Viw_Identificacao/lei%209.870-1999?OpenDocument" TargetMode="External"/><Relationship Id="rId9" Type="http://schemas.openxmlformats.org/officeDocument/2006/relationships/hyperlink" Target="https://www.planalto.gov.br/ccivil_03/MPV/2173-24.htm" TargetMode="External"/><Relationship Id="rId14" Type="http://schemas.openxmlformats.org/officeDocument/2006/relationships/hyperlink" Target="https://www.planalto.gov.br/ccivil_03/MPV/2173-24.htm" TargetMode="External"/><Relationship Id="rId22" Type="http://schemas.openxmlformats.org/officeDocument/2006/relationships/hyperlink" Target="https://www.planalto.gov.br/ccivil_03/MPV/2173-24.htm" TargetMode="External"/><Relationship Id="rId27" Type="http://schemas.openxmlformats.org/officeDocument/2006/relationships/hyperlink" Target="https://www.planalto.gov.br/ccivil_03/leis/L9131.htm" TargetMode="External"/><Relationship Id="rId30" Type="http://schemas.openxmlformats.org/officeDocument/2006/relationships/hyperlink" Target="https://www.planalto.gov.br/ccivil_03/leis/L9131.htm" TargetMode="External"/><Relationship Id="rId35" Type="http://schemas.openxmlformats.org/officeDocument/2006/relationships/hyperlink" Target="https://www.planalto.gov.br/ccivil_03/leis/1989_1994/L874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1978</Words>
  <Characters>10685</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sena</cp:lastModifiedBy>
  <cp:revision>1</cp:revision>
  <dcterms:created xsi:type="dcterms:W3CDTF">2023-03-05T18:14:00Z</dcterms:created>
  <dcterms:modified xsi:type="dcterms:W3CDTF">2023-03-05T18:16:00Z</dcterms:modified>
</cp:coreProperties>
</file>